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1F9D" w14:textId="77777777" w:rsidR="0015041E" w:rsidRDefault="00000000">
      <w:pPr>
        <w:rPr>
          <w:rFonts w:ascii="Arial" w:hAnsi="Arial"/>
          <w:b/>
          <w:bCs/>
          <w:sz w:val="28"/>
          <w:szCs w:val="28"/>
        </w:rPr>
      </w:pPr>
      <w:r>
        <w:rPr>
          <w:rFonts w:ascii="Arial" w:hAnsi="Arial"/>
          <w:b/>
          <w:bCs/>
          <w:sz w:val="28"/>
          <w:szCs w:val="28"/>
        </w:rPr>
        <w:t>Yallourn Madrigal Singers (Inc)</w:t>
      </w:r>
    </w:p>
    <w:p w14:paraId="45AFB2A3" w14:textId="77777777" w:rsidR="0015041E" w:rsidRDefault="0015041E">
      <w:pPr>
        <w:rPr>
          <w:rFonts w:ascii="Arial" w:hAnsi="Arial"/>
          <w:b/>
          <w:bCs/>
          <w:sz w:val="28"/>
          <w:szCs w:val="28"/>
        </w:rPr>
      </w:pPr>
    </w:p>
    <w:p w14:paraId="0064E093" w14:textId="3D084348" w:rsidR="0015041E" w:rsidRDefault="003172AD">
      <w:pPr>
        <w:rPr>
          <w:rFonts w:ascii="Arial" w:hAnsi="Arial"/>
          <w:b/>
          <w:bCs/>
          <w:sz w:val="28"/>
          <w:szCs w:val="28"/>
        </w:rPr>
      </w:pPr>
      <w:r>
        <w:rPr>
          <w:rFonts w:ascii="Arial" w:hAnsi="Arial"/>
          <w:b/>
          <w:bCs/>
          <w:sz w:val="28"/>
          <w:szCs w:val="28"/>
        </w:rPr>
        <w:t xml:space="preserve">Child Safety </w:t>
      </w:r>
      <w:r w:rsidR="00B60A5B">
        <w:rPr>
          <w:rFonts w:ascii="Arial" w:hAnsi="Arial"/>
          <w:b/>
          <w:bCs/>
          <w:sz w:val="28"/>
          <w:szCs w:val="28"/>
        </w:rPr>
        <w:t xml:space="preserve">Reportable Conduct </w:t>
      </w:r>
      <w:r>
        <w:rPr>
          <w:rFonts w:ascii="Arial" w:hAnsi="Arial"/>
          <w:b/>
          <w:bCs/>
          <w:sz w:val="28"/>
          <w:szCs w:val="28"/>
        </w:rPr>
        <w:t xml:space="preserve">Procedure </w:t>
      </w:r>
    </w:p>
    <w:p w14:paraId="39081436" w14:textId="77777777" w:rsidR="0015041E" w:rsidRDefault="0015041E">
      <w:pPr>
        <w:rPr>
          <w:rFonts w:ascii="Arial" w:hAnsi="Arial"/>
          <w:b/>
          <w:bCs/>
          <w:sz w:val="28"/>
          <w:szCs w:val="28"/>
        </w:rPr>
      </w:pPr>
    </w:p>
    <w:p w14:paraId="05FC26ED" w14:textId="77777777" w:rsidR="0015041E" w:rsidRDefault="00000000">
      <w:pPr>
        <w:rPr>
          <w:rFonts w:ascii="Arial" w:hAnsi="Arial"/>
          <w:b/>
          <w:bCs/>
          <w:sz w:val="28"/>
          <w:szCs w:val="28"/>
        </w:rPr>
      </w:pPr>
      <w:r>
        <w:rPr>
          <w:rFonts w:ascii="Arial" w:hAnsi="Arial"/>
          <w:b/>
          <w:bCs/>
          <w:sz w:val="28"/>
          <w:szCs w:val="28"/>
        </w:rPr>
        <w:t>Purpose</w:t>
      </w:r>
    </w:p>
    <w:p w14:paraId="356E02A7" w14:textId="77777777" w:rsidR="0015041E" w:rsidRDefault="0015041E">
      <w:pPr>
        <w:rPr>
          <w:rFonts w:ascii="Arial" w:hAnsi="Arial"/>
        </w:rPr>
      </w:pPr>
    </w:p>
    <w:p w14:paraId="58688F1E" w14:textId="77777777" w:rsidR="0015041E" w:rsidRDefault="00000000">
      <w:pPr>
        <w:rPr>
          <w:rFonts w:ascii="Arial" w:hAnsi="Arial"/>
        </w:rPr>
      </w:pPr>
      <w:r>
        <w:rPr>
          <w:rFonts w:ascii="Arial" w:hAnsi="Arial"/>
        </w:rPr>
        <w:t xml:space="preserve">This document defines conduct towards a child which must be reported to the appropriate authority by a responsible person within the Yallourn Madrigal Singers (YMS).  </w:t>
      </w:r>
    </w:p>
    <w:p w14:paraId="3E47528E" w14:textId="77777777" w:rsidR="0015041E" w:rsidRDefault="0015041E">
      <w:pPr>
        <w:rPr>
          <w:rFonts w:ascii="Arial" w:hAnsi="Arial"/>
        </w:rPr>
      </w:pPr>
    </w:p>
    <w:p w14:paraId="5136F790" w14:textId="77777777" w:rsidR="0015041E" w:rsidRDefault="0015041E">
      <w:pPr>
        <w:rPr>
          <w:rFonts w:ascii="Arial" w:hAnsi="Arial"/>
        </w:rPr>
      </w:pPr>
    </w:p>
    <w:p w14:paraId="44C43152" w14:textId="77777777" w:rsidR="0015041E" w:rsidRDefault="00000000">
      <w:pPr>
        <w:rPr>
          <w:rFonts w:ascii="Arial" w:hAnsi="Arial"/>
          <w:b/>
          <w:bCs/>
          <w:sz w:val="28"/>
          <w:szCs w:val="28"/>
        </w:rPr>
      </w:pPr>
      <w:r>
        <w:rPr>
          <w:rFonts w:ascii="Arial" w:hAnsi="Arial"/>
          <w:b/>
          <w:bCs/>
          <w:sz w:val="28"/>
          <w:szCs w:val="28"/>
        </w:rPr>
        <w:t>Related Documents</w:t>
      </w:r>
    </w:p>
    <w:p w14:paraId="35A4E0BF" w14:textId="77777777" w:rsidR="0015041E" w:rsidRDefault="0015041E">
      <w:pPr>
        <w:rPr>
          <w:rFonts w:ascii="Arial" w:hAnsi="Arial"/>
        </w:rPr>
      </w:pPr>
    </w:p>
    <w:p w14:paraId="114EBD95" w14:textId="77777777" w:rsidR="0015041E" w:rsidRDefault="00000000">
      <w:pPr>
        <w:rPr>
          <w:rFonts w:ascii="Arial" w:hAnsi="Arial"/>
        </w:rPr>
      </w:pPr>
      <w:r>
        <w:rPr>
          <w:rFonts w:ascii="Arial" w:hAnsi="Arial"/>
        </w:rPr>
        <w:t>Yallourn Madrigal Singers (</w:t>
      </w:r>
      <w:proofErr w:type="gramStart"/>
      <w:r>
        <w:rPr>
          <w:rFonts w:ascii="Arial" w:hAnsi="Arial"/>
        </w:rPr>
        <w:t>Inc)  Child</w:t>
      </w:r>
      <w:proofErr w:type="gramEnd"/>
      <w:r>
        <w:rPr>
          <w:rFonts w:ascii="Arial" w:hAnsi="Arial"/>
        </w:rPr>
        <w:t xml:space="preserve"> Safe Policy</w:t>
      </w:r>
    </w:p>
    <w:p w14:paraId="14CBA777" w14:textId="77777777" w:rsidR="0015041E" w:rsidRDefault="00000000">
      <w:pPr>
        <w:rPr>
          <w:rFonts w:ascii="Arial" w:hAnsi="Arial"/>
        </w:rPr>
      </w:pPr>
      <w:r>
        <w:rPr>
          <w:rFonts w:ascii="Arial" w:hAnsi="Arial"/>
        </w:rPr>
        <w:t>Yallourn Madrigal Singers (</w:t>
      </w:r>
      <w:proofErr w:type="gramStart"/>
      <w:r>
        <w:rPr>
          <w:rFonts w:ascii="Arial" w:hAnsi="Arial"/>
        </w:rPr>
        <w:t>Inc)  Child</w:t>
      </w:r>
      <w:proofErr w:type="gramEnd"/>
      <w:r>
        <w:rPr>
          <w:rFonts w:ascii="Arial" w:hAnsi="Arial"/>
        </w:rPr>
        <w:t xml:space="preserve"> Safety Code of Conduct </w:t>
      </w:r>
    </w:p>
    <w:p w14:paraId="63E44BC2" w14:textId="77777777" w:rsidR="0015041E" w:rsidRDefault="0015041E">
      <w:pPr>
        <w:rPr>
          <w:rFonts w:ascii="Arial" w:hAnsi="Arial"/>
        </w:rPr>
      </w:pPr>
    </w:p>
    <w:p w14:paraId="483B2EE9" w14:textId="77777777" w:rsidR="0015041E" w:rsidRDefault="00000000">
      <w:pPr>
        <w:rPr>
          <w:rFonts w:ascii="Arial" w:hAnsi="Arial"/>
          <w:b/>
          <w:bCs/>
          <w:sz w:val="28"/>
          <w:szCs w:val="28"/>
        </w:rPr>
      </w:pPr>
      <w:r>
        <w:rPr>
          <w:rFonts w:ascii="Arial" w:hAnsi="Arial"/>
          <w:b/>
          <w:bCs/>
          <w:sz w:val="28"/>
          <w:szCs w:val="28"/>
        </w:rPr>
        <w:t>Reportable Conduct</w:t>
      </w:r>
    </w:p>
    <w:p w14:paraId="21838DE4" w14:textId="77777777" w:rsidR="0015041E" w:rsidRDefault="00000000">
      <w:pPr>
        <w:rPr>
          <w:rFonts w:ascii="Arial" w:hAnsi="Arial"/>
          <w:b/>
          <w:bCs/>
          <w:sz w:val="28"/>
          <w:szCs w:val="28"/>
        </w:rPr>
      </w:pPr>
      <w:r>
        <w:rPr>
          <w:rFonts w:ascii="Arial" w:hAnsi="Arial"/>
          <w:b/>
          <w:bCs/>
          <w:sz w:val="28"/>
          <w:szCs w:val="28"/>
        </w:rPr>
        <w:t xml:space="preserve"> </w:t>
      </w:r>
    </w:p>
    <w:p w14:paraId="4EE73739" w14:textId="77777777" w:rsidR="0015041E" w:rsidRDefault="00000000">
      <w:pPr>
        <w:rPr>
          <w:rFonts w:ascii="Arial" w:hAnsi="Arial"/>
        </w:rPr>
      </w:pPr>
      <w:r>
        <w:rPr>
          <w:rFonts w:ascii="Arial" w:hAnsi="Arial"/>
        </w:rPr>
        <w:t>Reportable conduct falls into five core categories:</w:t>
      </w:r>
    </w:p>
    <w:p w14:paraId="173E65EB" w14:textId="77777777" w:rsidR="0015041E" w:rsidRDefault="0015041E">
      <w:pPr>
        <w:rPr>
          <w:rFonts w:ascii="Arial" w:hAnsi="Arial"/>
        </w:rPr>
      </w:pPr>
    </w:p>
    <w:p w14:paraId="4FD8A48A" w14:textId="77777777" w:rsidR="0015041E" w:rsidRDefault="00000000">
      <w:pPr>
        <w:pStyle w:val="BodyText"/>
        <w:numPr>
          <w:ilvl w:val="0"/>
          <w:numId w:val="1"/>
        </w:numPr>
        <w:tabs>
          <w:tab w:val="left" w:pos="707"/>
        </w:tabs>
        <w:spacing w:after="142"/>
        <w:rPr>
          <w:rFonts w:hint="eastAsia"/>
        </w:rPr>
      </w:pPr>
      <w:r>
        <w:rPr>
          <w:rStyle w:val="StrongEmphasis"/>
          <w:rFonts w:ascii="Arial" w:hAnsi="Arial"/>
        </w:rPr>
        <w:t>Sexual offences:</w:t>
      </w:r>
      <w:r>
        <w:rPr>
          <w:rFonts w:ascii="Arial" w:hAnsi="Arial"/>
        </w:rPr>
        <w:t xml:space="preserve"> Any criminal sexual act committed against, with, or in the presence of a child (including grooming, indecent acts, and child abuse material).</w:t>
      </w:r>
    </w:p>
    <w:p w14:paraId="452D1681" w14:textId="77777777" w:rsidR="0015041E" w:rsidRDefault="00000000">
      <w:pPr>
        <w:pStyle w:val="BodyText"/>
        <w:numPr>
          <w:ilvl w:val="0"/>
          <w:numId w:val="1"/>
        </w:numPr>
        <w:tabs>
          <w:tab w:val="left" w:pos="707"/>
        </w:tabs>
        <w:spacing w:after="142"/>
        <w:rPr>
          <w:rFonts w:hint="eastAsia"/>
        </w:rPr>
      </w:pPr>
      <w:r>
        <w:rPr>
          <w:rStyle w:val="StrongEmphasis"/>
          <w:rFonts w:ascii="Arial" w:hAnsi="Arial"/>
        </w:rPr>
        <w:t>Sexual misconduct:</w:t>
      </w:r>
      <w:r>
        <w:rPr>
          <w:rFonts w:ascii="Arial" w:hAnsi="Arial"/>
        </w:rPr>
        <w:t xml:space="preserve"> Inappropriate sexual behaviour or communication towards a child that may not necessarily reach the threshold of a criminal offence (e.g., sexualised comments, inappropriate touching, displaying videos or photos of a sexual nature).</w:t>
      </w:r>
    </w:p>
    <w:p w14:paraId="6DC51A91" w14:textId="77777777" w:rsidR="0015041E" w:rsidRDefault="00000000">
      <w:pPr>
        <w:pStyle w:val="BodyText"/>
        <w:numPr>
          <w:ilvl w:val="0"/>
          <w:numId w:val="1"/>
        </w:numPr>
        <w:tabs>
          <w:tab w:val="left" w:pos="707"/>
        </w:tabs>
        <w:rPr>
          <w:rFonts w:hint="eastAsia"/>
        </w:rPr>
      </w:pPr>
      <w:r>
        <w:rPr>
          <w:rStyle w:val="StrongEmphasis"/>
          <w:rFonts w:ascii="Arial" w:hAnsi="Arial"/>
        </w:rPr>
        <w:t>Physical violence:</w:t>
      </w:r>
      <w:r>
        <w:rPr>
          <w:rFonts w:ascii="Arial" w:hAnsi="Arial"/>
        </w:rPr>
        <w:t xml:space="preserve"> Any non-trivial physical assault, force, or violence committed against a child</w:t>
      </w:r>
    </w:p>
    <w:p w14:paraId="3D99265C" w14:textId="77777777" w:rsidR="0015041E" w:rsidRDefault="00000000">
      <w:pPr>
        <w:pStyle w:val="BodyText"/>
        <w:numPr>
          <w:ilvl w:val="0"/>
          <w:numId w:val="1"/>
        </w:numPr>
        <w:tabs>
          <w:tab w:val="left" w:pos="707"/>
        </w:tabs>
        <w:rPr>
          <w:rFonts w:hint="eastAsia"/>
        </w:rPr>
      </w:pPr>
      <w:r>
        <w:rPr>
          <w:rStyle w:val="StrongEmphasis"/>
          <w:rFonts w:ascii="Arial" w:hAnsi="Arial"/>
        </w:rPr>
        <w:t>Significant emotional or psychological harm:</w:t>
      </w:r>
      <w:r>
        <w:rPr>
          <w:rFonts w:ascii="Arial" w:hAnsi="Arial"/>
        </w:rPr>
        <w:t xml:space="preserve"> Any behaviour that causes, or poses a serious risk of causing, significant psychological or emotional trauma (e.g., severe degrading or threatening behaviour). </w:t>
      </w:r>
    </w:p>
    <w:p w14:paraId="376170AA" w14:textId="77777777" w:rsidR="0015041E" w:rsidRDefault="00000000">
      <w:pPr>
        <w:pStyle w:val="BodyText"/>
        <w:numPr>
          <w:ilvl w:val="0"/>
          <w:numId w:val="1"/>
        </w:numPr>
        <w:tabs>
          <w:tab w:val="left" w:pos="707"/>
        </w:tabs>
        <w:rPr>
          <w:rFonts w:hint="eastAsia"/>
        </w:rPr>
      </w:pPr>
      <w:r>
        <w:rPr>
          <w:rStyle w:val="StrongEmphasis"/>
          <w:rFonts w:ascii="Arial" w:hAnsi="Arial"/>
        </w:rPr>
        <w:t>Significant neglect:</w:t>
      </w:r>
      <w:r>
        <w:rPr>
          <w:rFonts w:ascii="Arial" w:hAnsi="Arial"/>
        </w:rPr>
        <w:t xml:space="preserve"> The deliberate or reckless failure to provide for a child’s basic physical, medical, or psychological needs, which causes harm or places the child at risk.</w:t>
      </w:r>
    </w:p>
    <w:p w14:paraId="302BEA0C" w14:textId="77777777" w:rsidR="0015041E" w:rsidRDefault="00000000">
      <w:pPr>
        <w:pStyle w:val="BodyText"/>
        <w:rPr>
          <w:rFonts w:ascii="Arial" w:hAnsi="Arial"/>
          <w:b/>
          <w:bCs/>
          <w:sz w:val="28"/>
          <w:szCs w:val="28"/>
        </w:rPr>
      </w:pPr>
      <w:r>
        <w:rPr>
          <w:rFonts w:ascii="Arial" w:hAnsi="Arial"/>
          <w:b/>
          <w:bCs/>
          <w:sz w:val="28"/>
          <w:szCs w:val="28"/>
        </w:rPr>
        <w:t>Application</w:t>
      </w:r>
    </w:p>
    <w:p w14:paraId="1FBEA25B" w14:textId="77777777" w:rsidR="0015041E" w:rsidRDefault="00000000">
      <w:pPr>
        <w:pStyle w:val="BodyText"/>
        <w:rPr>
          <w:rFonts w:ascii="Arial" w:hAnsi="Arial"/>
        </w:rPr>
      </w:pPr>
      <w:r>
        <w:rPr>
          <w:rFonts w:ascii="Arial" w:hAnsi="Arial"/>
        </w:rPr>
        <w:t xml:space="preserve">The Reportable Conduct Policy applies to all members of the YMS when involved in any YMS activity, and to any person assisting YMS with YMS activities.  It also applies to reporting the conduct of members of the public attending a YMS activity. </w:t>
      </w:r>
    </w:p>
    <w:p w14:paraId="6F674849" w14:textId="77777777" w:rsidR="0015041E" w:rsidRDefault="00000000">
      <w:pPr>
        <w:pStyle w:val="BodyText"/>
        <w:rPr>
          <w:rFonts w:ascii="Arial" w:hAnsi="Arial"/>
          <w:b/>
          <w:bCs/>
          <w:sz w:val="28"/>
          <w:szCs w:val="28"/>
        </w:rPr>
      </w:pPr>
      <w:r>
        <w:rPr>
          <w:rFonts w:ascii="Arial" w:hAnsi="Arial"/>
          <w:b/>
          <w:bCs/>
          <w:sz w:val="28"/>
          <w:szCs w:val="28"/>
        </w:rPr>
        <w:t>Reporting</w:t>
      </w:r>
    </w:p>
    <w:p w14:paraId="684D0071" w14:textId="77777777" w:rsidR="0015041E" w:rsidRDefault="00000000">
      <w:pPr>
        <w:pStyle w:val="BodyText"/>
        <w:rPr>
          <w:rFonts w:ascii="Arial" w:hAnsi="Arial"/>
        </w:rPr>
      </w:pPr>
      <w:r>
        <w:rPr>
          <w:rFonts w:ascii="Arial" w:hAnsi="Arial"/>
        </w:rPr>
        <w:t xml:space="preserve">Mandatory reporting applies to alleged or suspected offences in any of the above 5 categories. In the event of an event occurring which falls within any of the 5 categories above, it must be reported immediately to Police as the applicable agency. </w:t>
      </w:r>
    </w:p>
    <w:p w14:paraId="6D16ECDA" w14:textId="77777777" w:rsidR="0015041E" w:rsidRDefault="0015041E">
      <w:pPr>
        <w:rPr>
          <w:rFonts w:ascii="Arial" w:hAnsi="Arial"/>
          <w:b/>
          <w:bCs/>
          <w:sz w:val="28"/>
          <w:szCs w:val="28"/>
        </w:rPr>
      </w:pPr>
    </w:p>
    <w:p w14:paraId="37996920" w14:textId="77777777" w:rsidR="0015041E" w:rsidRDefault="00000000">
      <w:pPr>
        <w:rPr>
          <w:rFonts w:ascii="Arial" w:hAnsi="Arial"/>
          <w:b/>
          <w:bCs/>
          <w:sz w:val="28"/>
          <w:szCs w:val="28"/>
        </w:rPr>
      </w:pPr>
      <w:r>
        <w:rPr>
          <w:rFonts w:ascii="Arial" w:hAnsi="Arial"/>
          <w:b/>
          <w:bCs/>
          <w:sz w:val="28"/>
          <w:szCs w:val="28"/>
        </w:rPr>
        <w:lastRenderedPageBreak/>
        <w:t xml:space="preserve">Person Responsible to Report Reportable Conduct </w:t>
      </w:r>
    </w:p>
    <w:p w14:paraId="1362B1BE" w14:textId="77777777" w:rsidR="0015041E" w:rsidRDefault="0015041E">
      <w:pPr>
        <w:rPr>
          <w:rFonts w:ascii="Arial" w:hAnsi="Arial"/>
        </w:rPr>
      </w:pPr>
    </w:p>
    <w:p w14:paraId="4C497394" w14:textId="77777777" w:rsidR="0015041E" w:rsidRDefault="00000000">
      <w:pPr>
        <w:rPr>
          <w:rFonts w:ascii="Arial" w:hAnsi="Arial"/>
        </w:rPr>
      </w:pPr>
      <w:r>
        <w:rPr>
          <w:rFonts w:ascii="Arial" w:hAnsi="Arial"/>
        </w:rPr>
        <w:t xml:space="preserve">The person within YMS responsible to report reportable conduct within the YMS Child Safety Policy is the YMS President.  In the absence of the President the matter may be reported by a member of the YMS Executive or the Musical Director. </w:t>
      </w:r>
    </w:p>
    <w:p w14:paraId="38E3DF64" w14:textId="77777777" w:rsidR="0015041E" w:rsidRDefault="0015041E">
      <w:pPr>
        <w:rPr>
          <w:rFonts w:ascii="Arial" w:hAnsi="Arial"/>
        </w:rPr>
      </w:pPr>
    </w:p>
    <w:p w14:paraId="18FDC504" w14:textId="77777777" w:rsidR="0015041E" w:rsidRDefault="00000000">
      <w:pPr>
        <w:rPr>
          <w:rFonts w:ascii="Arial" w:hAnsi="Arial"/>
        </w:rPr>
      </w:pPr>
      <w:r>
        <w:rPr>
          <w:rFonts w:ascii="Arial" w:hAnsi="Arial"/>
        </w:rPr>
        <w:t xml:space="preserve">In all cases, once the alleged or suspected offence has been reported to the appropriate YMS officer, the issue must be reported to Police as soon as possible. </w:t>
      </w:r>
    </w:p>
    <w:p w14:paraId="5A7BDB15" w14:textId="77777777" w:rsidR="0015041E" w:rsidRDefault="0015041E">
      <w:pPr>
        <w:rPr>
          <w:rFonts w:ascii="Arial" w:hAnsi="Arial"/>
        </w:rPr>
      </w:pPr>
    </w:p>
    <w:p w14:paraId="5C908A0C" w14:textId="77777777" w:rsidR="0015041E" w:rsidRDefault="00000000">
      <w:pPr>
        <w:pStyle w:val="Heading2"/>
      </w:pPr>
      <w:r>
        <w:rPr>
          <w:color w:val="000000"/>
          <w:sz w:val="28"/>
          <w:szCs w:val="28"/>
        </w:rPr>
        <w:t>Document Approval and review</w:t>
      </w:r>
    </w:p>
    <w:tbl>
      <w:tblPr>
        <w:tblW w:w="9196" w:type="dxa"/>
        <w:tblLayout w:type="fixed"/>
        <w:tblLook w:val="06A0" w:firstRow="1" w:lastRow="0" w:firstColumn="1" w:lastColumn="0" w:noHBand="1" w:noVBand="1"/>
      </w:tblPr>
      <w:tblGrid>
        <w:gridCol w:w="2263"/>
        <w:gridCol w:w="6933"/>
      </w:tblGrid>
      <w:tr w:rsidR="0015041E" w14:paraId="5E9F47FB" w14:textId="77777777">
        <w:tc>
          <w:tcPr>
            <w:tcW w:w="2263" w:type="dxa"/>
            <w:tcBorders>
              <w:top w:val="single" w:sz="4" w:space="0" w:color="000000"/>
              <w:left w:val="single" w:sz="4" w:space="0" w:color="000000"/>
              <w:bottom w:val="single" w:sz="4" w:space="0" w:color="000000"/>
              <w:right w:val="single" w:sz="4" w:space="0" w:color="000000"/>
            </w:tcBorders>
          </w:tcPr>
          <w:p w14:paraId="300CCAE6" w14:textId="77777777" w:rsidR="0015041E" w:rsidRDefault="00000000">
            <w:pPr>
              <w:widowControl w:val="0"/>
              <w:spacing w:before="60" w:after="60"/>
              <w:rPr>
                <w:rFonts w:ascii="Arial" w:eastAsia="Arial" w:hAnsi="Arial"/>
                <w:b/>
                <w:bCs/>
                <w:kern w:val="0"/>
                <w:lang w:eastAsia="en-US" w:bidi="ar-SA"/>
              </w:rPr>
            </w:pPr>
            <w:r>
              <w:rPr>
                <w:rFonts w:ascii="Arial" w:eastAsia="Arial" w:hAnsi="Arial"/>
                <w:b/>
                <w:bCs/>
                <w:kern w:val="0"/>
                <w:lang w:eastAsia="en-US" w:bidi="ar-SA"/>
              </w:rPr>
              <w:t>Created date</w:t>
            </w:r>
          </w:p>
        </w:tc>
        <w:tc>
          <w:tcPr>
            <w:tcW w:w="6932" w:type="dxa"/>
            <w:tcBorders>
              <w:top w:val="single" w:sz="4" w:space="0" w:color="000000"/>
              <w:left w:val="single" w:sz="4" w:space="0" w:color="000000"/>
              <w:bottom w:val="single" w:sz="4" w:space="0" w:color="000000"/>
              <w:right w:val="single" w:sz="4" w:space="0" w:color="000000"/>
            </w:tcBorders>
          </w:tcPr>
          <w:p w14:paraId="75D0998A" w14:textId="77777777" w:rsidR="0015041E" w:rsidRDefault="00000000">
            <w:pPr>
              <w:widowControl w:val="0"/>
              <w:spacing w:before="60" w:after="60"/>
              <w:rPr>
                <w:rFonts w:ascii="Arial" w:eastAsia="Arial" w:hAnsi="Arial"/>
                <w:kern w:val="0"/>
                <w:sz w:val="22"/>
                <w:lang w:eastAsia="en-US" w:bidi="ar-SA"/>
              </w:rPr>
            </w:pPr>
            <w:r>
              <w:rPr>
                <w:rFonts w:ascii="Arial" w:eastAsia="Arial" w:hAnsi="Arial"/>
                <w:kern w:val="0"/>
                <w:sz w:val="22"/>
                <w:lang w:eastAsia="en-US" w:bidi="ar-SA"/>
              </w:rPr>
              <w:t>July 2026</w:t>
            </w:r>
          </w:p>
        </w:tc>
      </w:tr>
      <w:tr w:rsidR="0015041E" w14:paraId="5E8892BE" w14:textId="77777777">
        <w:tc>
          <w:tcPr>
            <w:tcW w:w="2263" w:type="dxa"/>
            <w:tcBorders>
              <w:top w:val="single" w:sz="4" w:space="0" w:color="000000"/>
              <w:left w:val="single" w:sz="4" w:space="0" w:color="000000"/>
              <w:bottom w:val="single" w:sz="4" w:space="0" w:color="000000"/>
              <w:right w:val="single" w:sz="4" w:space="0" w:color="000000"/>
            </w:tcBorders>
          </w:tcPr>
          <w:p w14:paraId="1F9943F9" w14:textId="77777777" w:rsidR="0015041E" w:rsidRDefault="00000000">
            <w:pPr>
              <w:widowControl w:val="0"/>
              <w:spacing w:before="60" w:after="60"/>
              <w:rPr>
                <w:rFonts w:ascii="Arial" w:eastAsia="Arial" w:hAnsi="Arial"/>
                <w:b/>
                <w:bCs/>
                <w:kern w:val="0"/>
                <w:lang w:eastAsia="en-US" w:bidi="ar-SA"/>
              </w:rPr>
            </w:pPr>
            <w:r>
              <w:rPr>
                <w:rFonts w:ascii="Arial" w:eastAsia="Arial" w:hAnsi="Arial"/>
                <w:b/>
                <w:bCs/>
                <w:kern w:val="0"/>
                <w:lang w:eastAsia="en-US" w:bidi="ar-SA"/>
              </w:rPr>
              <w:t>Endorsed by</w:t>
            </w:r>
          </w:p>
        </w:tc>
        <w:tc>
          <w:tcPr>
            <w:tcW w:w="6932" w:type="dxa"/>
            <w:tcBorders>
              <w:top w:val="single" w:sz="4" w:space="0" w:color="000000"/>
              <w:left w:val="single" w:sz="4" w:space="0" w:color="000000"/>
              <w:bottom w:val="single" w:sz="4" w:space="0" w:color="000000"/>
              <w:right w:val="single" w:sz="4" w:space="0" w:color="000000"/>
            </w:tcBorders>
          </w:tcPr>
          <w:p w14:paraId="55D16E7D" w14:textId="77777777" w:rsidR="0015041E" w:rsidRDefault="00000000">
            <w:pPr>
              <w:widowControl w:val="0"/>
              <w:spacing w:before="60" w:after="60"/>
              <w:rPr>
                <w:rFonts w:ascii="Arial" w:eastAsia="Arial" w:hAnsi="Arial"/>
                <w:kern w:val="0"/>
                <w:sz w:val="22"/>
                <w:lang w:eastAsia="en-US" w:bidi="ar-SA"/>
              </w:rPr>
            </w:pPr>
            <w:r>
              <w:rPr>
                <w:rFonts w:ascii="Arial" w:eastAsia="Arial" w:hAnsi="Arial"/>
                <w:kern w:val="0"/>
                <w:sz w:val="22"/>
                <w:lang w:eastAsia="en-US" w:bidi="ar-SA"/>
              </w:rPr>
              <w:t>YMS Committee</w:t>
            </w:r>
          </w:p>
        </w:tc>
      </w:tr>
      <w:tr w:rsidR="0015041E" w14:paraId="6B314820" w14:textId="77777777">
        <w:tc>
          <w:tcPr>
            <w:tcW w:w="2263" w:type="dxa"/>
            <w:tcBorders>
              <w:top w:val="single" w:sz="4" w:space="0" w:color="000000"/>
              <w:left w:val="single" w:sz="4" w:space="0" w:color="000000"/>
              <w:bottom w:val="single" w:sz="4" w:space="0" w:color="000000"/>
              <w:right w:val="single" w:sz="4" w:space="0" w:color="000000"/>
            </w:tcBorders>
          </w:tcPr>
          <w:p w14:paraId="38725AFD" w14:textId="77777777" w:rsidR="0015041E" w:rsidRDefault="00000000">
            <w:pPr>
              <w:widowControl w:val="0"/>
              <w:spacing w:before="60" w:after="60"/>
              <w:rPr>
                <w:rFonts w:ascii="Arial" w:eastAsia="Arial" w:hAnsi="Arial"/>
                <w:b/>
                <w:bCs/>
                <w:kern w:val="0"/>
                <w:lang w:eastAsia="en-US" w:bidi="ar-SA"/>
              </w:rPr>
            </w:pPr>
            <w:r>
              <w:rPr>
                <w:rFonts w:ascii="Arial" w:eastAsia="Arial" w:hAnsi="Arial"/>
                <w:b/>
                <w:bCs/>
                <w:kern w:val="0"/>
                <w:lang w:eastAsia="en-US" w:bidi="ar-SA"/>
              </w:rPr>
              <w:t>Endorsed on</w:t>
            </w:r>
          </w:p>
        </w:tc>
        <w:tc>
          <w:tcPr>
            <w:tcW w:w="6932" w:type="dxa"/>
            <w:tcBorders>
              <w:top w:val="single" w:sz="4" w:space="0" w:color="000000"/>
              <w:left w:val="single" w:sz="4" w:space="0" w:color="000000"/>
              <w:bottom w:val="single" w:sz="4" w:space="0" w:color="000000"/>
              <w:right w:val="single" w:sz="4" w:space="0" w:color="000000"/>
            </w:tcBorders>
          </w:tcPr>
          <w:p w14:paraId="16197F31" w14:textId="77777777" w:rsidR="0015041E" w:rsidRDefault="00000000">
            <w:pPr>
              <w:widowControl w:val="0"/>
              <w:spacing w:before="60" w:after="60"/>
              <w:rPr>
                <w:rFonts w:ascii="Arial" w:eastAsia="Arial" w:hAnsi="Arial"/>
                <w:kern w:val="0"/>
                <w:lang w:eastAsia="en-US" w:bidi="ar-SA"/>
              </w:rPr>
            </w:pPr>
            <w:r>
              <w:rPr>
                <w:rFonts w:ascii="Arial" w:eastAsia="Arial" w:hAnsi="Arial"/>
                <w:kern w:val="0"/>
                <w:lang w:eastAsia="en-US" w:bidi="ar-SA"/>
              </w:rPr>
              <w:t>[Date]</w:t>
            </w:r>
          </w:p>
        </w:tc>
      </w:tr>
      <w:tr w:rsidR="0015041E" w14:paraId="44AA90D0" w14:textId="77777777">
        <w:tc>
          <w:tcPr>
            <w:tcW w:w="2263" w:type="dxa"/>
            <w:tcBorders>
              <w:top w:val="single" w:sz="4" w:space="0" w:color="000000"/>
              <w:left w:val="single" w:sz="4" w:space="0" w:color="000000"/>
              <w:bottom w:val="single" w:sz="4" w:space="0" w:color="000000"/>
              <w:right w:val="single" w:sz="4" w:space="0" w:color="000000"/>
            </w:tcBorders>
          </w:tcPr>
          <w:p w14:paraId="5CA8DED9" w14:textId="77777777" w:rsidR="0015041E" w:rsidRDefault="00000000">
            <w:pPr>
              <w:widowControl w:val="0"/>
              <w:spacing w:before="60" w:after="60"/>
              <w:rPr>
                <w:rFonts w:ascii="Arial" w:eastAsia="Arial" w:hAnsi="Arial"/>
                <w:b/>
                <w:bCs/>
                <w:kern w:val="0"/>
                <w:lang w:eastAsia="en-US" w:bidi="ar-SA"/>
              </w:rPr>
            </w:pPr>
            <w:r>
              <w:rPr>
                <w:rFonts w:ascii="Arial" w:eastAsia="Arial" w:hAnsi="Arial"/>
                <w:b/>
                <w:bCs/>
                <w:kern w:val="0"/>
                <w:lang w:eastAsia="en-US" w:bidi="ar-SA"/>
              </w:rPr>
              <w:t>Next review date</w:t>
            </w:r>
          </w:p>
        </w:tc>
        <w:tc>
          <w:tcPr>
            <w:tcW w:w="6932" w:type="dxa"/>
            <w:tcBorders>
              <w:top w:val="single" w:sz="4" w:space="0" w:color="000000"/>
              <w:left w:val="single" w:sz="4" w:space="0" w:color="000000"/>
              <w:bottom w:val="single" w:sz="4" w:space="0" w:color="000000"/>
              <w:right w:val="single" w:sz="4" w:space="0" w:color="000000"/>
            </w:tcBorders>
          </w:tcPr>
          <w:p w14:paraId="557A01F9" w14:textId="77777777" w:rsidR="0015041E" w:rsidRDefault="00000000">
            <w:pPr>
              <w:widowControl w:val="0"/>
              <w:spacing w:before="60" w:after="60"/>
              <w:rPr>
                <w:rFonts w:ascii="Arial" w:eastAsia="Arial" w:hAnsi="Arial"/>
                <w:kern w:val="0"/>
                <w:lang w:eastAsia="en-US" w:bidi="ar-SA"/>
              </w:rPr>
            </w:pPr>
            <w:r>
              <w:rPr>
                <w:rFonts w:ascii="Arial" w:eastAsia="Arial" w:hAnsi="Arial"/>
                <w:kern w:val="0"/>
                <w:lang w:eastAsia="en-US" w:bidi="ar-SA"/>
              </w:rPr>
              <w:t>[Date]</w:t>
            </w:r>
            <w:bookmarkStart w:id="0" w:name="_Hlk99969518"/>
            <w:bookmarkEnd w:id="0"/>
          </w:p>
        </w:tc>
      </w:tr>
    </w:tbl>
    <w:p w14:paraId="5E824FDB" w14:textId="77777777" w:rsidR="0015041E" w:rsidRDefault="0015041E">
      <w:pPr>
        <w:rPr>
          <w:rFonts w:ascii="Arial" w:hAnsi="Arial"/>
        </w:rPr>
      </w:pPr>
    </w:p>
    <w:p w14:paraId="483E6BA9" w14:textId="77777777" w:rsidR="0015041E" w:rsidRDefault="0015041E">
      <w:pPr>
        <w:rPr>
          <w:rFonts w:ascii="Arial" w:hAnsi="Arial"/>
        </w:rPr>
      </w:pPr>
    </w:p>
    <w:sectPr w:rsidR="0015041E">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panose1 w:val="00000000000000000000"/>
    <w:charset w:val="00"/>
    <w:family w:val="roman"/>
    <w:notTrueType/>
    <w:pitch w:val="default"/>
  </w:font>
  <w:font w:name="OpenSymbol">
    <w:altName w:val="Cambria"/>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13380"/>
    <w:multiLevelType w:val="multilevel"/>
    <w:tmpl w:val="E744C2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B81665B"/>
    <w:multiLevelType w:val="multilevel"/>
    <w:tmpl w:val="7EF28FB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774330674">
    <w:abstractNumId w:val="1"/>
  </w:num>
  <w:num w:numId="2" w16cid:durableId="203889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41E"/>
    <w:rsid w:val="00064D35"/>
    <w:rsid w:val="000F2391"/>
    <w:rsid w:val="0015041E"/>
    <w:rsid w:val="003172AD"/>
    <w:rsid w:val="00617748"/>
    <w:rsid w:val="0063638A"/>
    <w:rsid w:val="006730BE"/>
    <w:rsid w:val="00696173"/>
    <w:rsid w:val="008B06FD"/>
    <w:rsid w:val="00AA329A"/>
    <w:rsid w:val="00B60A5B"/>
    <w:rsid w:val="00E746B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5248"/>
  <w15:docId w15:val="{CC1E30C0-7E21-4700-AE0D-265136AF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pPr>
      <w:keepNext/>
      <w:keepLines/>
      <w:spacing w:before="40" w:after="120"/>
      <w:outlineLvl w:val="1"/>
    </w:pPr>
    <w:rPr>
      <w:rFonts w:asciiTheme="majorHAnsi" w:eastAsiaTheme="majorEastAsia" w:hAnsiTheme="majorHAnsi" w:cs="Times New Roman (Headings CS)"/>
      <w:b/>
      <w:color w:val="5B9BD5" w:themeColor="accent5"/>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SOPHY MORLEY</dc:creator>
  <dc:description/>
  <cp:lastModifiedBy>SOPHY MORLEY</cp:lastModifiedBy>
  <cp:revision>2</cp:revision>
  <cp:lastPrinted>2026-07-12T09:08:00Z</cp:lastPrinted>
  <dcterms:created xsi:type="dcterms:W3CDTF">2026-08-22T03:49:00Z</dcterms:created>
  <dcterms:modified xsi:type="dcterms:W3CDTF">2026-08-22T03:49:00Z</dcterms:modified>
  <dc:language>en-GB</dc:language>
</cp:coreProperties>
</file>